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4"/>
      </w:tblGrid>
      <w:tr w:rsidR="0016248A" w:rsidRPr="0016248A" w:rsidTr="0016248A">
        <w:trPr>
          <w:trHeight w:val="1218"/>
        </w:trPr>
        <w:tc>
          <w:tcPr>
            <w:tcW w:w="9984" w:type="dxa"/>
            <w:shd w:val="clear" w:color="auto" w:fill="FFFFFF"/>
            <w:vAlign w:val="center"/>
            <w:hideMark/>
          </w:tcPr>
          <w:p w:rsidR="0016248A" w:rsidRPr="0016248A" w:rsidRDefault="0016248A" w:rsidP="0016248A">
            <w:pPr>
              <w:spacing w:after="0" w:line="240" w:lineRule="auto"/>
              <w:ind w:right="454"/>
              <w:jc w:val="center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16248A">
              <w:rPr>
                <w:rFonts w:ascii="Times New Roman Полужирный" w:eastAsia="Times New Roman" w:hAnsi="Times New Roman Полужирный" w:cs="Arial"/>
                <w:b/>
                <w:bCs/>
                <w:color w:val="5C5B5B"/>
                <w:spacing w:val="100"/>
                <w:sz w:val="40"/>
                <w:szCs w:val="40"/>
                <w:lang w:eastAsia="ru-RU"/>
              </w:rPr>
              <w:t>ОБЛАСТНОЙ ЗАКОН</w:t>
            </w:r>
          </w:p>
        </w:tc>
      </w:tr>
      <w:tr w:rsidR="0016248A" w:rsidRPr="0016248A" w:rsidTr="0016248A">
        <w:trPr>
          <w:trHeight w:val="170"/>
        </w:trPr>
        <w:tc>
          <w:tcPr>
            <w:tcW w:w="9984" w:type="dxa"/>
            <w:shd w:val="clear" w:color="auto" w:fill="FFFFFF"/>
            <w:hideMark/>
          </w:tcPr>
          <w:p w:rsidR="0016248A" w:rsidRPr="0016248A" w:rsidRDefault="0016248A" w:rsidP="0016248A">
            <w:pPr>
              <w:spacing w:after="0" w:line="170" w:lineRule="atLeast"/>
              <w:ind w:right="851"/>
              <w:jc w:val="center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16248A">
              <w:rPr>
                <w:rFonts w:ascii="Times New Roman" w:eastAsia="Times New Roman" w:hAnsi="Times New Roman" w:cs="Times New Roman"/>
                <w:b/>
                <w:bCs/>
                <w:color w:val="5C5B5B"/>
                <w:sz w:val="24"/>
                <w:szCs w:val="24"/>
                <w:lang w:eastAsia="ru-RU"/>
              </w:rPr>
              <w:t>О ПРОТИВОДЕЙСТВИИ КОРРУПЦИИ В РОСТОВСКОЙ ОБЛАСТИ</w:t>
            </w:r>
          </w:p>
        </w:tc>
      </w:tr>
    </w:tbl>
    <w:p w:rsidR="0016248A" w:rsidRPr="0016248A" w:rsidRDefault="0016248A" w:rsidP="00162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16248A" w:rsidRPr="0016248A" w:rsidRDefault="0016248A" w:rsidP="00162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tbl>
      <w:tblPr>
        <w:tblW w:w="99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5805"/>
      </w:tblGrid>
      <w:tr w:rsidR="0016248A" w:rsidRPr="0016248A" w:rsidTr="0016248A">
        <w:trPr>
          <w:trHeight w:val="170"/>
        </w:trPr>
        <w:tc>
          <w:tcPr>
            <w:tcW w:w="4131" w:type="dxa"/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16248A" w:rsidRPr="0016248A" w:rsidRDefault="0016248A" w:rsidP="0016248A">
            <w:pPr>
              <w:spacing w:after="0" w:line="170" w:lineRule="atLeast"/>
              <w:jc w:val="center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proofErr w:type="gramStart"/>
            <w:r w:rsidRPr="0016248A">
              <w:rPr>
                <w:rFonts w:ascii="Times New Roman" w:eastAsia="Times New Roman" w:hAnsi="Times New Roman" w:cs="Times New Roman"/>
                <w:b/>
                <w:bCs/>
                <w:color w:val="5C5B5B"/>
                <w:sz w:val="28"/>
                <w:szCs w:val="28"/>
                <w:lang w:eastAsia="ru-RU"/>
              </w:rPr>
              <w:t>Принят</w:t>
            </w:r>
            <w:proofErr w:type="gramEnd"/>
            <w:r w:rsidRPr="0016248A"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  <w:br/>
            </w:r>
            <w:r w:rsidRPr="0016248A">
              <w:rPr>
                <w:rFonts w:ascii="Times New Roman" w:eastAsia="Times New Roman" w:hAnsi="Times New Roman" w:cs="Times New Roman"/>
                <w:b/>
                <w:bCs/>
                <w:color w:val="5C5B5B"/>
                <w:sz w:val="28"/>
                <w:szCs w:val="28"/>
                <w:lang w:eastAsia="ru-RU"/>
              </w:rPr>
              <w:t>Законодательным Собранием</w:t>
            </w:r>
          </w:p>
        </w:tc>
        <w:tc>
          <w:tcPr>
            <w:tcW w:w="5739" w:type="dxa"/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16248A" w:rsidRPr="0016248A" w:rsidRDefault="0016248A" w:rsidP="0016248A">
            <w:pPr>
              <w:spacing w:after="0" w:line="170" w:lineRule="atLeast"/>
              <w:jc w:val="center"/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</w:pPr>
            <w:r w:rsidRPr="0016248A">
              <w:rPr>
                <w:rFonts w:ascii="Times New Roman" w:eastAsia="Times New Roman" w:hAnsi="Times New Roman" w:cs="Times New Roman"/>
                <w:b/>
                <w:bCs/>
                <w:color w:val="5C5B5B"/>
                <w:sz w:val="28"/>
                <w:szCs w:val="28"/>
                <w:lang w:eastAsia="ru-RU"/>
              </w:rPr>
              <w:t>23 апреля 2009 года</w:t>
            </w:r>
          </w:p>
        </w:tc>
      </w:tr>
    </w:tbl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Статья 1. </w:t>
      </w:r>
      <w:r w:rsidRPr="0016248A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Предмет правового регулирования настоящего Областного закона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Настоящим Областным законом устанавливаются правовые и организационные основы противодействия коррупции в Ростовской области.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Статья 2. </w:t>
      </w:r>
      <w:r w:rsidRPr="0016248A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Основные понятия, используемые в настоящем Областном законе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 настоящем Областном законе используются основные понятия, предусмотренные Федеральным законом от 25 декабря 2008 года № 273-ФЗ «О противодействии коррупции» (далее – Федеральный закон «О противодействии коррупции»).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Статья 3. </w:t>
      </w:r>
      <w:r w:rsidRPr="0016248A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Правовая основа противодействия коррупции в Ростовской области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Правовую основу противодействия коррупции в Ростовской области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 закон «О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Устав Ростовской области, настоящий</w:t>
      </w:r>
      <w:proofErr w:type="gramEnd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Областной закон, другие областные законы, нормативные правовые акты государственных органов Ростовской области и муниципальные нормативные правовые акты.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Статья 4. </w:t>
      </w:r>
      <w:r w:rsidRPr="0016248A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Основные задачи противодействия коррупции в Ростовской области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Основными задачами противодействия коррупции в Ростовской области являются: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1) создание системы противодействия коррупции;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2) устранение факторов, способствующих созданию условий для проявления коррупции;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3) формирование в обществе нетерпимости к коррупционному поведению;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4) привлечение граждан, общественных объединений и средств массовой информации к деятельности по противодействию коррупции;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5) повышение ответственности государственных гражданских служащих Ростовской области и муниципальных служащих при осуществлении ими своих прав и обязанностей;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6) повышение эффективности деятельности государственных органов Ростовской области и органов местного самоуправления.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Статья 5. </w:t>
      </w:r>
      <w:r w:rsidRPr="0016248A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Направления деятельности государственных органов Ростовской области и органов местного самоуправления по повышению эффективности противодействия коррупции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Направлениями деятельности государственных органов Ростовской области и органов местного самоуправления по повышению эффективности противодействия коррупции являются: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1) участие в проведении единой государственной политики в сфере противодействия коррупции;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2) принятие законодательных, административных и иных мер, направленных на привлечение государственных гражданских служащих Ростовской области, муниципальных служащих, граждан, общественных объединений и средств массовой информации к активному участию в деятельности по противодействию коррупции, на формирование в обществе нетерпимости к коррупционному поведению;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3) совершенствование системы и структуры государственных органов Ростовской области, органов местного самоуправления, создание механизмов общественного </w:t>
      </w:r>
      <w:proofErr w:type="gramStart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контроля за</w:t>
      </w:r>
      <w:proofErr w:type="gramEnd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их деятельностью;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4) введение антикоррупционных стандартов;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5) создание эффективной системы реализации и защиты прав граждан и юридических лиц;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6) обеспечение доступа граждан к информации о деятельности государственных органов Ростовской области и органов местного самоуправления;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7) совершенствование порядка прохождения государственной гражданской службы Ростовской области и муниципальной службы;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8)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нужд Ростовской области и муниципальных нужд;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9) устранение необоснованных запретов и ограничений, особенно в области экономической деятельности;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10) совершенствование порядка использования имущества, находящегося в государственной собственности Ростовской области, муниципального имущества, государственных ресурсов Ростовской области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11) повышение уровня оплаты труда и социальной защищенности государственных гражданских служащих Ростовской области и муниципальных служащих;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12) создание системы стимулов для антикоррупционного поведения государственных гражданских служащих Ростовской области и муниципальных служащих при осуществлении ими своих прав и обязанностей;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13) усиление </w:t>
      </w:r>
      <w:proofErr w:type="gramStart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контроля за</w:t>
      </w:r>
      <w:proofErr w:type="gramEnd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решением вопросов, содержащихся в обращениях граждан и юридических лиц;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14) сокращение численности государственных гражданских служащих Ростовской области и муниципальных служащих с одновременным привлечением на государственную гражданскую службу и муниципальную службу квалифицированных специалистов;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15) повышение ответственности государственных органов Ростовской области, органов местного самоуправления и их должностных лиц за непринятие мер по устранению причин коррупции;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16) оптимизация и конкретизация полномочий государственных органов Ростовской области, государственных гражданских служащих Ростовской области, органов местного самоуправлении и муниципальных служащих, которые должны быть отражены в административных и должностных регламентах;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17) определение лиц, ответственных за реализацию планов противодействия коррупции в государственных органах Ростовской области и органах местного самоуправления;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18) иные направления в соответствии с федеральным и областным законодательством и муниципальными правовыми актами.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Статья 6. </w:t>
      </w:r>
      <w:r w:rsidRPr="0016248A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Комиссии по противодействию коррупции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 В целях противодействия коррупции в Ростовской области создается постоянно действующая комиссия по противодействию коррупции в Ростовской области (далее – Комиссия).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2. </w:t>
      </w:r>
      <w:proofErr w:type="gramStart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В состав Комиссии включаются заместители Губернатора Ростовской области, депутаты Законодательного Собрания Ростовской области, 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представители Ведомства по управлению государственной гражданской службой Ростовской области, других государственных органов Ростовской области, а также по согласованию представители прокуратуры Ростовской области и других федеральных государственных органов, органов местного самоуправления, средств массовой информации, общественных объединений, учреждений науки, образовательных организаций высшего образования.</w:t>
      </w:r>
      <w:proofErr w:type="gramEnd"/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Персональный состав Комиссии утверждается Губернатором Ростовской области.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 Основными задачами Комиссии являются: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1) координация деятельности государственных органов Ростовской области по противодействию коррупции;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2) взаимодействие с федеральными государственными органами и органами местного самоуправления по вопросам противодействия коррупции;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3) разработка рекомендаций по вопросам противодействия коррупции, в том числе по минимизации и (или) ликвидации последствий коррупционных правонарушений;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4) подготовка предложений в проект антикоррупционной программы Ростовской области;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5) подготовка предложений в планы противодействия коррупции в государственных органах Ростовской области;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6) разработка предложений по введению антикоррупционных стандартов;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7) пункт утратил силу - Областной закон от 29.09.09 № 294-ЗС;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8) оказание содействия государственным органам Ростовской области и органам местного самоуправления в реализации мер по противодействию коррупции в этих органах;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9) осуществление антикоррупционного мониторинга;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10) участие в повышении правовой культуры граждан и антикоррупционной пропаганде.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 Часть утратила силу - Областной закон от 29.09.09 № 294-ЗС.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5. Порядок деятельности Комиссии устанавливается Правитель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ством Ростовской области.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 Органы местного самоуправления вправе создавать комиссии по противодействию коррупции в муниципальных образованиях.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Статья 7. </w:t>
      </w:r>
      <w:r w:rsidRPr="0016248A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Антикоррупционные программы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 Антикоррупционная программа Ростовской области представляет собой совокуп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 xml:space="preserve">ность предусмотренных в государственной программе Ростовской области мероприятий, направленных на реализацию правовых, 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экономических, информационно-пропагандистских, организационных и иных мер по противодействию коррупции.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 Антикоррупционная программа Ростовской области разрабатывается с учетом предложений Комиссии и утверждается Правитель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ством Ростовской области.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 Органы местного самоуправления могут утверждать антикоррупционные программы муниципальных образований.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Статья 8. </w:t>
      </w:r>
      <w:r w:rsidRPr="0016248A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Антикоррупционные стандарты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 Антикоррупционные стандарты представляют собой единую для определенной сферы деятельности государственных органов Ростовской области, органов местного самоуправления систему запретов, ограничений и дозволений, обеспечивающих предупреждение коррупции.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 Установление антикоррупционных стандартов осуществляется в целях совершенствования деятельности государственных органов Ростовской области, органов местного самоуправления и создания эффективной системы реализации и защиты прав граждан и юридических лиц.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 Антикоррупционные стандарты в сфере деятельности государственных органов Ростовской области устанавливаются областными законами, а в сфере деятельности органов местного самоуправления – муниципальными нормативными правовыми актами.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Статья 9. Антикоррупционная экспертиза нормативных правовых актов государственных органов Ростовской области, их должностных лиц (проектов нормативных правовых актов)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 </w:t>
      </w:r>
      <w:proofErr w:type="gramStart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Антикоррупционная экспертиза нормативных правовых актов государственных органов Ростовской области, их должностных лиц (проектов нормативных правовых актов) проводится государственными органами Ростовской области, их должностными лицами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 (далее – Федеральный закон «Об антикоррупционной экспертизе нормативных правовых актов и проектов нормативных правовых актов</w:t>
      </w:r>
      <w:proofErr w:type="gramEnd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») в порядке, установленном нормативными правовыми актами соответствующих государственных органов Ростовской области, и согласно методике, определенной Правительством Российской Федерации.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 Государственные органы Ростовской области,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 xml:space="preserve">3. Выявленные в нормативных правовых актах (проектах нормативных правовых актов) </w:t>
      </w:r>
      <w:proofErr w:type="spellStart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коррупциогенные</w:t>
      </w:r>
      <w:proofErr w:type="spellEnd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факторы отражаются в заключении, составляемом при проведении антикоррупционной экспертизы.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Заключение, составляемое при проведении антикоррупционной экспертизы, носит рекомендательный характер и подлежит обязательному рассмотрению соответствующим государственным органом Ростовской области или должностным лицом.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4. Государственные органы Ростовской области,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коррупциогенных</w:t>
      </w:r>
      <w:proofErr w:type="spellEnd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факторов, принятие </w:t>
      </w:r>
      <w:proofErr w:type="gramStart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мер</w:t>
      </w:r>
      <w:proofErr w:type="gramEnd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5. В соответствии с Федеральным законом «Об антикоррупционной экспертизе нормативных правовых актов и проектов нормативных правовых актов» институты гражданского общества и граждане могут за счет собственных сре</w:t>
      </w:r>
      <w:proofErr w:type="gramStart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дств пр</w:t>
      </w:r>
      <w:proofErr w:type="gramEnd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оводить независимую антикоррупционную экспертизу нормативных правовых актов государственных органов Ростовской области, их должностных лиц (проектов нормативных правовых актов).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государственным органом Ростовской области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коррупциогенных</w:t>
      </w:r>
      <w:proofErr w:type="spellEnd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факторов.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Статья 10. </w:t>
      </w:r>
      <w:r w:rsidRPr="0016248A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Антикоррупционный мониторинг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1. В целях </w:t>
      </w:r>
      <w:proofErr w:type="gramStart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оценки эффективности мер противодействия коррупции</w:t>
      </w:r>
      <w:proofErr w:type="gramEnd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в Ростовской области Комиссией осуществляется антикоррупционный мониторинг.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2. </w:t>
      </w:r>
      <w:proofErr w:type="gramStart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Антикоррупционный мониторинг осуществляется Комиссией посредством сбора, обобщения и анализа информации о фактах коррупции в государственных органах Ростовской области и органах местного самоуправления, о выявленных по результатам антикоррупционной экспертизы нормативных правовых актов государственных органов Ростовской области, органов местного самоуправления, их должностных лиц (проектов нормативных правовых актов) положениях, способствующих созданию условий для проявления коррупции, о последствиях коррупционных правонарушений, об эффективности мер противодействия</w:t>
      </w:r>
      <w:proofErr w:type="gramEnd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коррупции и иной информации.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3. Порядок осуществления Комиссией антикоррупционного мониторинга утверждается Правитель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ством Ростовской области.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 В целях осуществления антикоррупционного мониторинга Комиссия вправе создавать рабочие группы, порядок деятельности и персональный состав которых утверждаются Комиссией, запрашивать у государственных органов Ростовской области, органов местного самоуправления и у должностных лиц сведения, документы и материалы, необходимые для осуществления антикоррупционного мониторинга.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5. Результаты антикоррупционного мониторинга учитываются при разработке проекта антикоррупционной программы Ростовской области.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6. В целях </w:t>
      </w:r>
      <w:proofErr w:type="gramStart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оценки эффективности мер противодействия коррупции</w:t>
      </w:r>
      <w:proofErr w:type="gramEnd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в муниципальных образованиях органы местного самоуправления вправе осуществлять антикоррупционный мониторинг в порядке, установленном нормативным правовым актом представительного органа соответствующего муниципального образования.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Статья 11. </w:t>
      </w:r>
      <w:r w:rsidRPr="0016248A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Повышение правовой культуры граждан и антикоррупционная пропаганда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Повышение правовой культуры граждан и антикоррупционная пропаганда представляют собой деятельность государственных органов Ростовской области, органов местного самоуправления, в том числе через средства массовой информации, содержанием которой являются просветительская работа в обществе по вопросам противодействия коррупции, формирование в обществе нетерпимости к коррупционному поведению и укрепление доверия жителей Ростовской области к государственным органам Ростовской области и органам местного самоуправления.</w:t>
      </w:r>
      <w:proofErr w:type="gramEnd"/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Статья 12. </w:t>
      </w:r>
      <w:r w:rsidRPr="0016248A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Планы противодействия коррупции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 Государственные органы Ростовской области разрабатывают и утверждают планы противодействия коррупции, предусматривающие прове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дение конкретных мероприятий по противодействию коррупции.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2. Органы исполнительной власти Ростовской области утверждают планы противодействия </w:t>
      </w:r>
      <w:proofErr w:type="gramStart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коррупции</w:t>
      </w:r>
      <w:proofErr w:type="gramEnd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на основе утверждаемого Губернатором Ростовской области плана противодействия коррупции в органах исполнительной власти Ростовской области.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 Разработка проектов планов противодействия коррупции в государственных органах Ростовской области осуществляется с учетом предложений Комиссии.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 Государственные органы Ростовской области ежегодно в срок до 1 марта года, следующего за отчетным периодом, представляют отчеты о реализации планов противодействия коррупции в Комиссию.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5. Органы местного самоуправления вправе утверждать планы противодействия коррупции в органах местного самоуправления в порядке, установленном нормативным правовым актом представительного органа соответствующего муниципального образования.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Статья 13. </w:t>
      </w:r>
      <w:r w:rsidRPr="0016248A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 образовательными организациями высшего образования и средствами массовой информации по вопросам противодействия коррупции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 В целях выявления факторов, способствующих созданию условий для проявления коррупции, а также повышения эффективности деятельности государственных органов Ростовской области и органов местного самоуправления осуществляется 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 образовательными организациями высшего образования и средствами массовой информации.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2. </w:t>
      </w:r>
      <w:proofErr w:type="gramStart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 образовательными организациями высшего образования и средствами массовой информации может осуществляться путем создания при государственных органах Ростовской области, органах местного самоуправления совещательных и экспертных органов, состоящих из представителей государственных органов Ростовской области, органов местного самоуправления, общественных объединений, учреждений науки, образовательных организаций высшего образования, средств массовой информации и</w:t>
      </w:r>
      <w:proofErr w:type="gramEnd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граждан, а также в иных формах.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Статья 13</w:t>
      </w:r>
      <w:r w:rsidRPr="0016248A">
        <w:rPr>
          <w:rFonts w:ascii="Times New Roman" w:eastAsia="Times New Roman" w:hAnsi="Times New Roman" w:cs="Times New Roman"/>
          <w:color w:val="5C5B5B"/>
          <w:sz w:val="19"/>
          <w:szCs w:val="19"/>
          <w:vertAlign w:val="superscript"/>
          <w:lang w:eastAsia="ru-RU"/>
        </w:rPr>
        <w:t>1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 </w:t>
      </w:r>
      <w:r w:rsidRPr="0016248A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Представление сведений о доходах, расходах, об имуществе и обязательствах имущественного характера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 Сведения о своих доходах, об имуществе и обязательствах имущест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венного характера, а также о доходах, об имуществе и обязательствах иму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щественного характера своих супруги (супруга) и несовершеннолетних детей (далее – сведения о доходах и об имуществе) в соответствии с федеральными законами и иными нормативными правовыми актами Российской Федерации обязаны представлять: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1) Губернатор Ростовской области;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2) депутаты Законодательного Собрания Ростовской области;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3) лица, замещающие иные, помимо указанных в пунктах 1 и 2 настоящей части, государственные должности Ростовской области;</w:t>
      </w:r>
      <w:proofErr w:type="gramEnd"/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4) лица, замещающие муниципальные должности на постоянной основе;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5) лица, замещающие должности государственной гражданской служ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бы Ростовской области, включенные в перечень, установленный норма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тивным правовым актом Правительства Ростовской области;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6) лица, замещающие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7) лица, замещающие должности руководителей областных государственных учреждений;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8) лица, претендующие на замещение иных, помимо указанных в пунктах 1 и 2 настоящей части, государственных должностей Ростовской области;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9) лица, претендующие на замещение должностей государственной гражданской службы Ростовской области;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10) лица, претендующие на замещение должностей муниципальной службы, указанных в пункте 6 настоящей части;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11) лица, претендующие на замещение должностей руководителей областных государственных учреждений.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2. </w:t>
      </w:r>
      <w:proofErr w:type="gramStart"/>
      <w:r w:rsidRPr="0016248A">
        <w:rPr>
          <w:rFonts w:ascii="Times New Roman" w:eastAsia="Times New Roman" w:hAnsi="Times New Roman" w:cs="Times New Roman"/>
          <w:color w:val="5C5B5B"/>
          <w:spacing w:val="2"/>
          <w:sz w:val="28"/>
          <w:szCs w:val="28"/>
          <w:lang w:eastAsia="ru-RU"/>
        </w:rPr>
        <w:t>Лицо, замещающее одну из должностей, указанных в пунктах 1–6 части 1 настоящей статьи, обязано ежегодно в сроки, установленные для представления сведений о доходах и об имуществе, представлять сведения о своих расходах, а также о расходах своих супруги (супруга) и несовершен</w:t>
      </w:r>
      <w:r w:rsidRPr="0016248A">
        <w:rPr>
          <w:rFonts w:ascii="Times New Roman" w:eastAsia="Times New Roman" w:hAnsi="Times New Roman" w:cs="Times New Roman"/>
          <w:color w:val="5C5B5B"/>
          <w:spacing w:val="2"/>
          <w:sz w:val="28"/>
          <w:szCs w:val="28"/>
          <w:lang w:eastAsia="ru-RU"/>
        </w:rPr>
        <w:softHyphen/>
        <w:t>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 w:rsidRPr="0016248A">
        <w:rPr>
          <w:rFonts w:ascii="Times New Roman" w:eastAsia="Times New Roman" w:hAnsi="Times New Roman" w:cs="Times New Roman"/>
          <w:color w:val="5C5B5B"/>
          <w:spacing w:val="2"/>
          <w:sz w:val="28"/>
          <w:szCs w:val="28"/>
          <w:lang w:eastAsia="ru-RU"/>
        </w:rPr>
        <w:t xml:space="preserve"> </w:t>
      </w:r>
      <w:proofErr w:type="gramStart"/>
      <w:r w:rsidRPr="0016248A">
        <w:rPr>
          <w:rFonts w:ascii="Times New Roman" w:eastAsia="Times New Roman" w:hAnsi="Times New Roman" w:cs="Times New Roman"/>
          <w:color w:val="5C5B5B"/>
          <w:spacing w:val="2"/>
          <w:sz w:val="28"/>
          <w:szCs w:val="28"/>
          <w:lang w:eastAsia="ru-RU"/>
        </w:rPr>
        <w:t>уставных (складочных) капиталах организа</w:t>
      </w:r>
      <w:r w:rsidRPr="0016248A">
        <w:rPr>
          <w:rFonts w:ascii="Times New Roman" w:eastAsia="Times New Roman" w:hAnsi="Times New Roman" w:cs="Times New Roman"/>
          <w:color w:val="5C5B5B"/>
          <w:spacing w:val="2"/>
          <w:sz w:val="28"/>
          <w:szCs w:val="28"/>
          <w:lang w:eastAsia="ru-RU"/>
        </w:rPr>
        <w:softHyphen/>
        <w:t>ций), совершенной им, его супругой (супругом) и (или) несовершеннолет</w:t>
      </w:r>
      <w:r w:rsidRPr="0016248A">
        <w:rPr>
          <w:rFonts w:ascii="Times New Roman" w:eastAsia="Times New Roman" w:hAnsi="Times New Roman" w:cs="Times New Roman"/>
          <w:color w:val="5C5B5B"/>
          <w:spacing w:val="2"/>
          <w:sz w:val="28"/>
          <w:szCs w:val="28"/>
          <w:lang w:eastAsia="ru-RU"/>
        </w:rPr>
        <w:softHyphen/>
        <w:t>ними детьми в течение календарного года, предшествующего году пред</w:t>
      </w:r>
      <w:r w:rsidRPr="0016248A">
        <w:rPr>
          <w:rFonts w:ascii="Times New Roman" w:eastAsia="Times New Roman" w:hAnsi="Times New Roman" w:cs="Times New Roman"/>
          <w:color w:val="5C5B5B"/>
          <w:spacing w:val="2"/>
          <w:sz w:val="28"/>
          <w:szCs w:val="28"/>
          <w:lang w:eastAsia="ru-RU"/>
        </w:rPr>
        <w:softHyphen/>
        <w:t>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– сведе</w:t>
      </w:r>
      <w:r w:rsidRPr="0016248A">
        <w:rPr>
          <w:rFonts w:ascii="Times New Roman" w:eastAsia="Times New Roman" w:hAnsi="Times New Roman" w:cs="Times New Roman"/>
          <w:color w:val="5C5B5B"/>
          <w:spacing w:val="2"/>
          <w:sz w:val="28"/>
          <w:szCs w:val="28"/>
          <w:lang w:eastAsia="ru-RU"/>
        </w:rPr>
        <w:softHyphen/>
        <w:t>ния о расходах)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</w:t>
      </w:r>
      <w:proofErr w:type="gramEnd"/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Сведения о расходах представляются в целях осуществления в соответствии с федеральными  законами и иными нормативными правовыми актами Российской Федерации контроля за соответствием расходов лиц, указанных в пунктах 1–6 части 1 настоящей статьи, расходов их супруг (супругов) и несовершеннолетних детей общему доходу соответствующего лица и его супруги (супруга) за три последних года, предшествующих отчетному периоду (далее – контроль за расходами).</w:t>
      </w:r>
      <w:proofErr w:type="gramEnd"/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 Лицо, указанное в пункте 1 части 1 настоящей статьи, представляет сведения о доходах и об имуществе, а также сведения о расходах в порядке, установленном Президентом Российской Федерации.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4. Сроки и порядок представления лицами, указанными в пункте 2 части 1 настоящей статьи, сведений о доходах и об имуществе, а также порядок проверки их достоверности и полноты, проверки соблюдения указанными лицами ограничений и запретов, установленных федеральными законами, Уставом Ростовской области и областными законами, устанав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ливаются областным законом.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Контроль за расходами лиц, указанных в пункте 2 части 1 настоящей статьи, а также за расходами их супруг (супругов) и несовершеннолетних детей осуществляется в порядке, определяемом Федеральным законом от 3 декабря 2012 года № 230-ФЗ «О контроле за соответствием расходов лиц, замещающих государственные должности, и иных лиц их доходам», иными федеральными законами, а также Областным законом от 8 июня 1994 года</w:t>
      </w:r>
      <w:proofErr w:type="gramEnd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№ 1-ЗС «О статусе депутата Законодательного Собрания Ростовской области».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5. </w:t>
      </w:r>
      <w:proofErr w:type="gramStart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Порядок проверки в соответствующем государственном органе Ростовской области достоверности и полноты сведений о доходах и об иму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ществе, представляемых лицами, указанными в пунктах 3 и 8 части 1 настоя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щей статьи, сведений, представляемых в соответствии с нормативными правовыми актами Российской Федерации лицами, указанными в пункте 8 части 1 настоящей статьи, а также проверки соблюдения лицами, указанными в пункте 3 части 1 настоящей</w:t>
      </w:r>
      <w:proofErr w:type="gramEnd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</w:t>
      </w:r>
      <w:proofErr w:type="gramStart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статьи,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коррупции», другими федеральными законами, нормативными правовыми актами Ростовской области, в отношении государственных должностей Рос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товской области в государственных органах Ростовской области, за исключе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нием Правительства Ростовской области и иных органов исполнительной власти Ростовской области, а также должности Уполномоченного по защите прав предпринимателей в</w:t>
      </w:r>
      <w:proofErr w:type="gramEnd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Ростовской области, определяется Законодательным Собранием Ростовской области.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 Лица, указанные в пунктах 4, 6 и 10 части 1 настоящей статьи, представляют сведения о доходах и об имуществе в порядке, сроки и по форме, которые установлены для представления сведений о доходах и об имуществе лицами, указанными в пункте 5 части 1 настоящей статьи.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Лица, указанные в пунктах 4 и 6 части 1 настоящей статьи, пред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ставляют сведения о расходах в порядке и по форме, которые установлены для представления сведений о расходах лицами, указанными в пункте 5 части 1 настоящей статьи.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7. Правительство Ростовской области в соответствии с федеральными законами и иными нормативными правовыми актами Российской Федерации: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1) определяет порядки представления лицами, указанными в пунктах 3, 5, 7, 8, 9 и 11 части 1 настоящей статьи, сведений о доходах и об имуществе;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2) определяет порядок проверки в соответствующем государственном органе Ростовской области достоверности и полноты сведений о доходах и об 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имуществе, представляемых лицами, указанными в пунктах 3 и 8 части 1 настоящей статьи, сведений, представляемых в соответствии с норматив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ными правовыми актами Российской Федерации лицами, указанными в пункте 8 части 1 настоящей статьи, а также проверки соблюдения лицами, указанными в пункте 3 части</w:t>
      </w:r>
      <w:proofErr w:type="gramEnd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</w:t>
      </w:r>
      <w:proofErr w:type="gramStart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 настоящей статьи,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коррупции», другими федеральными законами, норма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тивными правовыми актами Ростовской области, в отношении государ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ственных должностей Ростовской области в Правительстве Ростовской области и иных органах исполнительной власти Ростовской области, а также должности Упол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номоченного по защите прав предпринимателей в Ростовской области;</w:t>
      </w:r>
      <w:proofErr w:type="gramEnd"/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3) определяет порядок проверки в соответствующем государственном органе достоверности и полноты сведений о доходах и об имуществе, пред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ставляемых лицами, указанными в пунктах 5 и 9 части 1 настоящей статьи, сведений, представляемых в соответствии с нормативными правовыми актами Российской Федерации лицами, указанными в пункте 9 части 1 нас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тоящей статьи, а также проверки соблюдения лицами, указанными в пункте 5 части 1 настоящей</w:t>
      </w:r>
      <w:proofErr w:type="gramEnd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статьи, ограничений и запретов, требований о предотвра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щении или урегулировании конфликта интересов, исполнения ими обязан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ностей и соблюдения требований к служебному поведению, установленных Федеральным законом «О противодействии коррупции», другими федераль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ными законами, нормативными правовыми актами Ростовской области;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4)  определяет порядок проверки достоверности и полноты сведений о доходах и об имуществе представляемых лицами, указанными в пунктах 6 и 10 части 1 настоящей статьи, сведений, представляемых в соответствии с нормативными правовыми актами Российской Федерации лицами, указан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ными в пункте 10 части 1 настоящей статьи, соблюдения лицами, указанны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ми в пункте 6 части 1 настоящей статьи, ограничений и запретов, требований о предотвращении</w:t>
      </w:r>
      <w:proofErr w:type="gramEnd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или об урегулировании конфликта интересов, исполнения ими обязанностей, установленных Федеральным законом «О противодей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ствии коррупции» и другими нормативными правовыми актами Российской Федерации;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5) определяет порядок проверки достоверности и полноты сведений о доходах и об имуществе, представляемых лицами, указанными в пунктах 7 и 11 части 1 настоящей статьи;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6) определяет порядок размещения в информационно-телекомму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никационной сети «Интернет» на официальных сайтах государственных органов Ростовской области сведений о доходах и об имуществе, представ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ляемых лицами, указанными в пунктах 3, 5 и 7 части 1 настоящей статьи, и предоставления их для опубликования средствам массовой информации;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7) определяет порядок представления лицами, указанными в пунктах 3–6 части 1 настоящей статьи, сведений о расходах;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8) определяет порядок принятия решения об осуществлении </w:t>
      </w:r>
      <w:proofErr w:type="gramStart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контроля за</w:t>
      </w:r>
      <w:proofErr w:type="gramEnd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расходами в отношении лиц, указанных в пунктах 3–6 части 1 настоящей статьи;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9) определяет государственный орган Ростовской области (подразделе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ние государственного органа Ростовской области либо должностное лицо указанного органа, ответственное за работу по профилактике коррупционных и иных правонарушений), уполномоченный (уполномоченные) на осуществле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 xml:space="preserve">ние </w:t>
      </w:r>
      <w:proofErr w:type="gramStart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контроля за</w:t>
      </w:r>
      <w:proofErr w:type="gramEnd"/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расходами в отношении лиц, указанных в пунктах 3–6 части 1 настоящей статьи;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10) определяет порядок проверки достоверности и полноты сведений о расходах, представляемых лицами, указанными в пункте 6 части 1 настоящей статьи.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Статья 14. </w:t>
      </w:r>
      <w:r w:rsidRPr="0016248A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Финансовое обеспечение мероприятий в сфере противодействия коррупции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Финансовое обеспечение мероприятий, осуществляемых госу</w:t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дарственными органами Ростовской области в соответствии с настоящим Областным законом, осуществляется за счет средств областного бюджета.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Статья 15. </w:t>
      </w:r>
      <w:r w:rsidRPr="0016248A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Вступление в силу настоящего Областного закона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Настоящий Областной закон вступает в силу по истечении 10 дней со дня его официального опубликования.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16248A" w:rsidRPr="0016248A" w:rsidRDefault="0016248A" w:rsidP="0016248A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Глава Администрации </w:t>
      </w:r>
      <w:r w:rsidRPr="0016248A">
        <w:rPr>
          <w:rFonts w:ascii="Arial" w:eastAsia="Times New Roman" w:hAnsi="Arial" w:cs="Arial"/>
          <w:color w:val="5C5B5B"/>
          <w:sz w:val="21"/>
          <w:szCs w:val="21"/>
          <w:lang w:eastAsia="ru-RU"/>
        </w:rPr>
        <w:br/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(Губернатор) Ростовской области              В. Чуб.</w:t>
      </w:r>
    </w:p>
    <w:p w:rsidR="0016248A" w:rsidRPr="0016248A" w:rsidRDefault="0016248A" w:rsidP="00162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16248A" w:rsidRPr="0016248A" w:rsidRDefault="0016248A" w:rsidP="0016248A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</w:t>
      </w:r>
    </w:p>
    <w:p w:rsidR="0016248A" w:rsidRPr="0016248A" w:rsidRDefault="0016248A" w:rsidP="0016248A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г. Ростов-на-Дону</w:t>
      </w:r>
      <w:r w:rsidRPr="0016248A">
        <w:rPr>
          <w:rFonts w:ascii="Arial" w:eastAsia="Times New Roman" w:hAnsi="Arial" w:cs="Arial"/>
          <w:color w:val="5C5B5B"/>
          <w:sz w:val="28"/>
          <w:szCs w:val="28"/>
          <w:lang w:eastAsia="ru-RU"/>
        </w:rPr>
        <w:br/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12 мая 2009 года</w:t>
      </w:r>
      <w:r w:rsidRPr="0016248A">
        <w:rPr>
          <w:rFonts w:ascii="Arial" w:eastAsia="Times New Roman" w:hAnsi="Arial" w:cs="Arial"/>
          <w:color w:val="5C5B5B"/>
          <w:sz w:val="28"/>
          <w:szCs w:val="28"/>
          <w:lang w:eastAsia="ru-RU"/>
        </w:rPr>
        <w:br/>
      </w:r>
      <w:r w:rsidRPr="0016248A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№ 218-ЗС</w:t>
      </w:r>
    </w:p>
    <w:p w:rsidR="00885432" w:rsidRDefault="00885432">
      <w:bookmarkStart w:id="0" w:name="_GoBack"/>
      <w:bookmarkEnd w:id="0"/>
    </w:p>
    <w:sectPr w:rsidR="0088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8A"/>
    <w:rsid w:val="0016248A"/>
    <w:rsid w:val="0088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3992</Words>
  <Characters>22760</Characters>
  <Application>Microsoft Office Word</Application>
  <DocSecurity>0</DocSecurity>
  <Lines>189</Lines>
  <Paragraphs>53</Paragraphs>
  <ScaleCrop>false</ScaleCrop>
  <Company>Home</Company>
  <LinksUpToDate>false</LinksUpToDate>
  <CharactersWithSpaces>26699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2015-06-21T17:29:00Z</dcterms:created>
  <dcterms:modified xsi:type="dcterms:W3CDTF">2015-06-21T17:29:00Z</dcterms:modified>
</cp:coreProperties>
</file>